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CF6" w:rsidRPr="00F57292" w:rsidRDefault="00A87CF6" w:rsidP="00A87CF6">
      <w:pPr>
        <w:jc w:val="center"/>
        <w:rPr>
          <w:b/>
          <w:lang w:val="en-US"/>
        </w:rPr>
      </w:pPr>
      <w:r w:rsidRPr="00F57292">
        <w:rPr>
          <w:b/>
          <w:lang w:val="en-US"/>
        </w:rPr>
        <w:t xml:space="preserve">C O M U N I C A T </w:t>
      </w:r>
    </w:p>
    <w:p w:rsidR="00A87CF6" w:rsidRDefault="00A87CF6" w:rsidP="004E7DFD">
      <w:pPr>
        <w:tabs>
          <w:tab w:val="left" w:pos="1440"/>
        </w:tabs>
        <w:spacing w:after="0" w:line="240" w:lineRule="auto"/>
        <w:ind w:firstLine="1440"/>
        <w:jc w:val="both"/>
        <w:rPr>
          <w:szCs w:val="24"/>
          <w:shd w:val="clear" w:color="auto" w:fill="FFFFFF"/>
        </w:rPr>
      </w:pPr>
      <w:r w:rsidRPr="00F57292">
        <w:t xml:space="preserve">În considerarea faptului că din data de 28.08.2020 a început campania electorală, potrivit competențelor conferite de art. 80 alin. 1 din Legea nr. 115/2015:” </w:t>
      </w:r>
      <w:r w:rsidRPr="00F57292">
        <w:rPr>
          <w:i/>
          <w:szCs w:val="24"/>
          <w:shd w:val="clear" w:color="auto" w:fill="FFFFFF"/>
        </w:rPr>
        <w:t xml:space="preserve">Birourile electorale de circumscripție veghează la corecta desfășurare a campaniei electorale în circumscripția în care funcționează”, </w:t>
      </w:r>
      <w:r w:rsidRPr="00F57292">
        <w:rPr>
          <w:szCs w:val="24"/>
          <w:shd w:val="clear" w:color="auto" w:fill="FFFFFF"/>
        </w:rPr>
        <w:t xml:space="preserve">Biroul Electoral de Circumscripție nr. 38 Florești  informează partidele politice, alianțele politice și electorale, candidații independenți și organizațiile cetățenilor aparținând minorităților naționale asupra obligațiilor ce le revin, de a desfășura o campanie electorală cu respectarea dispozițiilor cuprinse în Secțiunea a 7-a din Legea nr. 115/2015. </w:t>
      </w:r>
    </w:p>
    <w:p w:rsidR="00F57292" w:rsidRDefault="00F57292" w:rsidP="004E7DFD">
      <w:pPr>
        <w:tabs>
          <w:tab w:val="left" w:pos="1440"/>
        </w:tabs>
        <w:spacing w:after="0" w:line="240" w:lineRule="auto"/>
        <w:ind w:firstLine="1440"/>
        <w:jc w:val="both"/>
        <w:rPr>
          <w:szCs w:val="24"/>
          <w:shd w:val="clear" w:color="auto" w:fill="FFFFFF"/>
        </w:rPr>
      </w:pPr>
      <w:r>
        <w:rPr>
          <w:szCs w:val="24"/>
          <w:shd w:val="clear" w:color="auto" w:fill="FFFFFF"/>
        </w:rPr>
        <w:t xml:space="preserve">Redăm în extras dispoziții legale importante: </w:t>
      </w:r>
    </w:p>
    <w:p w:rsidR="00F57292" w:rsidRPr="00F57292" w:rsidRDefault="00F57292" w:rsidP="00F57292">
      <w:pPr>
        <w:tabs>
          <w:tab w:val="left" w:pos="1440"/>
        </w:tabs>
        <w:spacing w:after="0"/>
        <w:jc w:val="both"/>
        <w:rPr>
          <w:szCs w:val="24"/>
          <w:shd w:val="clear" w:color="auto" w:fill="FFFFFF"/>
        </w:rPr>
      </w:pPr>
      <w:r>
        <w:rPr>
          <w:szCs w:val="24"/>
          <w:shd w:val="clear" w:color="auto" w:fill="FFFFFF"/>
        </w:rPr>
        <w:t>-p</w:t>
      </w:r>
      <w:r w:rsidRPr="00F57292">
        <w:rPr>
          <w:szCs w:val="24"/>
          <w:shd w:val="clear" w:color="auto" w:fill="FFFFFF"/>
        </w:rPr>
        <w:t>otrivit art. 79 alin. 3-7 din Legea nr. 115/2015</w:t>
      </w:r>
      <w:r>
        <w:rPr>
          <w:szCs w:val="24"/>
          <w:shd w:val="clear" w:color="auto" w:fill="FFFFFF"/>
        </w:rPr>
        <w:t>:</w:t>
      </w:r>
    </w:p>
    <w:p w:rsidR="00F57292" w:rsidRPr="00F57292" w:rsidRDefault="00F57292" w:rsidP="00F57292">
      <w:pPr>
        <w:pStyle w:val="al"/>
        <w:shd w:val="clear" w:color="auto" w:fill="FFFFFF"/>
        <w:spacing w:before="0" w:beforeAutospacing="0" w:after="0" w:afterAutospacing="0"/>
        <w:jc w:val="both"/>
        <w:rPr>
          <w:i/>
        </w:rPr>
      </w:pPr>
      <w:r w:rsidRPr="00F57292">
        <w:rPr>
          <w:b/>
          <w:bCs/>
          <w:i/>
        </w:rPr>
        <w:t>(3)</w:t>
      </w:r>
      <w:r w:rsidRPr="00F57292">
        <w:rPr>
          <w:i/>
        </w:rPr>
        <w:t> Utilizarea locurilor de afișaj electoral este permisă partidelor politice, alianțelor politice și alianțelor electorale sau organizațiilor minorităților naționale care participă la alegeri și candidaților independenți.</w:t>
      </w:r>
    </w:p>
    <w:p w:rsidR="00F57292" w:rsidRPr="00F57292" w:rsidRDefault="00F57292" w:rsidP="00F57292">
      <w:pPr>
        <w:pStyle w:val="al"/>
        <w:shd w:val="clear" w:color="auto" w:fill="FFFFFF"/>
        <w:spacing w:before="0" w:beforeAutospacing="0" w:after="0" w:afterAutospacing="0"/>
        <w:jc w:val="both"/>
        <w:rPr>
          <w:b/>
          <w:i/>
        </w:rPr>
      </w:pPr>
      <w:r w:rsidRPr="00F57292">
        <w:rPr>
          <w:b/>
          <w:bCs/>
          <w:i/>
        </w:rPr>
        <w:t>(4)</w:t>
      </w:r>
      <w:r w:rsidRPr="00F57292">
        <w:rPr>
          <w:i/>
        </w:rPr>
        <w:t xml:space="preserve"> Este interzisă utilizarea de către un partid politic, alianță politică, alianță electorală sau organizație a cetățenilor aparținând minorităților naționale care participă la alegeri ori candidat independent a locurilor speciale de afișaj electoral, astfel încât să împiedice folosirea acestora de către un alt partid politic, alianță politică, alianță electorală sau organizație a cetățenilor aparținând minorităților naționale care participă la alegeri ori candidat independent. </w:t>
      </w:r>
      <w:r w:rsidRPr="00F57292">
        <w:rPr>
          <w:b/>
          <w:i/>
        </w:rPr>
        <w:t>Pe un panou electoral, fiecare partid politic, alianță politică, alianță electorală sau organizație a cetățenilor aparținând minorităților naționale care participă la alegeri ori fiecare candidat independent poate aplica un singur afiș electoral.</w:t>
      </w:r>
    </w:p>
    <w:p w:rsidR="00F57292" w:rsidRPr="00F57292" w:rsidRDefault="00F57292" w:rsidP="00F57292">
      <w:pPr>
        <w:pStyle w:val="al"/>
        <w:shd w:val="clear" w:color="auto" w:fill="FFFFFF"/>
        <w:spacing w:before="0" w:beforeAutospacing="0" w:after="0" w:afterAutospacing="0"/>
        <w:jc w:val="both"/>
        <w:rPr>
          <w:i/>
        </w:rPr>
      </w:pPr>
      <w:r w:rsidRPr="00F57292">
        <w:rPr>
          <w:b/>
          <w:bCs/>
          <w:i/>
        </w:rPr>
        <w:t>(5)</w:t>
      </w:r>
      <w:r w:rsidRPr="00F57292">
        <w:rPr>
          <w:i/>
        </w:rPr>
        <w:t> Un afiș electoral amplasat în locurile prevăzute la </w:t>
      </w:r>
      <w:hyperlink r:id="rId4" w:anchor="p-287837706" w:tgtFrame="_blank" w:history="1">
        <w:r w:rsidRPr="00F57292">
          <w:rPr>
            <w:rStyle w:val="Hyperlink"/>
            <w:i/>
            <w:color w:val="auto"/>
          </w:rPr>
          <w:t>alin. (1)</w:t>
        </w:r>
      </w:hyperlink>
      <w:r w:rsidRPr="00F57292">
        <w:rPr>
          <w:i/>
        </w:rPr>
        <w:t> nu poate depăși dimensiunile de 500 mm o latură și 350 mm cealaltă latură, iar cel prin care se convoacă o reuniune electorală, 400 mm o latură și 250 mm cealaltă latură.</w:t>
      </w:r>
    </w:p>
    <w:p w:rsidR="00F57292" w:rsidRPr="00F57292" w:rsidRDefault="00F57292" w:rsidP="00F57292">
      <w:pPr>
        <w:pStyle w:val="al"/>
        <w:shd w:val="clear" w:color="auto" w:fill="FFFFFF"/>
        <w:spacing w:before="0" w:beforeAutospacing="0" w:after="0" w:afterAutospacing="0"/>
        <w:jc w:val="both"/>
        <w:rPr>
          <w:i/>
        </w:rPr>
      </w:pPr>
      <w:r w:rsidRPr="00F57292">
        <w:rPr>
          <w:b/>
          <w:bCs/>
          <w:i/>
        </w:rPr>
        <w:t>(6)</w:t>
      </w:r>
      <w:r w:rsidRPr="00F57292">
        <w:rPr>
          <w:i/>
        </w:rPr>
        <w:t> În alte locuri decât cele stabilite conform </w:t>
      </w:r>
      <w:hyperlink r:id="rId5" w:anchor="p-287837706" w:tgtFrame="_blank" w:history="1">
        <w:r w:rsidRPr="00F57292">
          <w:rPr>
            <w:rStyle w:val="Hyperlink"/>
            <w:i/>
            <w:color w:val="auto"/>
          </w:rPr>
          <w:t>alin. (1)</w:t>
        </w:r>
      </w:hyperlink>
      <w:r w:rsidRPr="00F57292">
        <w:rPr>
          <w:i/>
        </w:rPr>
        <w:t>, afișajul electoral este permis numai cu acordul proprietarilor, administratorilor sau, după caz, al deținătorilor.</w:t>
      </w:r>
    </w:p>
    <w:p w:rsidR="00F57292" w:rsidRDefault="00F57292" w:rsidP="00F57292">
      <w:pPr>
        <w:pStyle w:val="al"/>
        <w:shd w:val="clear" w:color="auto" w:fill="FFFFFF"/>
        <w:spacing w:before="0" w:beforeAutospacing="0" w:after="0" w:afterAutospacing="0"/>
        <w:jc w:val="both"/>
        <w:rPr>
          <w:b/>
          <w:i/>
        </w:rPr>
      </w:pPr>
      <w:r w:rsidRPr="00F57292">
        <w:rPr>
          <w:b/>
          <w:bCs/>
          <w:i/>
        </w:rPr>
        <w:t>(7)</w:t>
      </w:r>
      <w:r w:rsidRPr="00F57292">
        <w:rPr>
          <w:i/>
        </w:rPr>
        <w:t> </w:t>
      </w:r>
      <w:r w:rsidRPr="00F57292">
        <w:rPr>
          <w:b/>
          <w:i/>
        </w:rPr>
        <w:t>Sunt interzise afișele electorale care combină culori sau alte semne grafice, astfel încât să evoce simbolurile naționale ale României ori ale altui stat.</w:t>
      </w:r>
    </w:p>
    <w:p w:rsidR="004E7DFD" w:rsidRDefault="004E7DFD" w:rsidP="00F57292">
      <w:pPr>
        <w:pStyle w:val="al"/>
        <w:shd w:val="clear" w:color="auto" w:fill="FFFFFF"/>
        <w:spacing w:before="0" w:beforeAutospacing="0" w:after="0" w:afterAutospacing="0"/>
        <w:jc w:val="both"/>
        <w:rPr>
          <w:b/>
          <w:i/>
        </w:rPr>
      </w:pPr>
    </w:p>
    <w:p w:rsidR="004E7DFD" w:rsidRDefault="004E7DFD" w:rsidP="00F57292">
      <w:pPr>
        <w:pStyle w:val="al"/>
        <w:shd w:val="clear" w:color="auto" w:fill="FFFFFF"/>
        <w:spacing w:before="0" w:beforeAutospacing="0" w:after="0" w:afterAutospacing="0"/>
        <w:jc w:val="both"/>
      </w:pPr>
      <w:r>
        <w:rPr>
          <w:b/>
        </w:rPr>
        <w:t xml:space="preserve">- </w:t>
      </w:r>
      <w:r>
        <w:t>potrivit art. 80 alin. 2-5 Legea nr. 115/2015</w:t>
      </w:r>
    </w:p>
    <w:p w:rsidR="004E7DFD" w:rsidRPr="004E7DFD" w:rsidRDefault="004E7DFD" w:rsidP="004E7DFD">
      <w:pPr>
        <w:pStyle w:val="al"/>
        <w:shd w:val="clear" w:color="auto" w:fill="FFFFFF"/>
        <w:spacing w:before="0" w:beforeAutospacing="0" w:after="0" w:afterAutospacing="0"/>
        <w:jc w:val="both"/>
        <w:rPr>
          <w:i/>
        </w:rPr>
      </w:pPr>
      <w:r w:rsidRPr="004E7DFD">
        <w:rPr>
          <w:bCs/>
          <w:i/>
        </w:rPr>
        <w:t>(2)</w:t>
      </w:r>
      <w:r w:rsidRPr="004E7DFD">
        <w:rPr>
          <w:i/>
        </w:rPr>
        <w:t> Birourile electorale de circumscripție soluționează plângerile ce le sunt adresate cu privire la împiedicarea unui partid politic, organizații a cetățenilor aparținând minorităților naționale, alianțe politice, alianțe electorale ori a unui candidat independent de a-și desfășura campania electorală în condițiile prevăzute de lege, precum și plângerile privind încălcarea prevederilor </w:t>
      </w:r>
    </w:p>
    <w:p w:rsidR="004E7DFD" w:rsidRPr="004E7DFD" w:rsidRDefault="004E7DFD" w:rsidP="004E7DFD">
      <w:pPr>
        <w:pStyle w:val="al"/>
        <w:shd w:val="clear" w:color="auto" w:fill="FFFFFF"/>
        <w:spacing w:before="0" w:beforeAutospacing="0" w:after="0" w:afterAutospacing="0"/>
        <w:jc w:val="both"/>
        <w:rPr>
          <w:i/>
        </w:rPr>
      </w:pPr>
      <w:r w:rsidRPr="004E7DFD">
        <w:rPr>
          <w:bCs/>
          <w:i/>
        </w:rPr>
        <w:t>(3)</w:t>
      </w:r>
      <w:r w:rsidRPr="004E7DFD">
        <w:rPr>
          <w:i/>
        </w:rPr>
        <w:t> Dacă biroul electoral de circumscripție consideră, cu ocazia soluționării plângerii, că este necesară luarea unor măsuri administrative sau aplicarea unor sancțiuni contravenționale ori penale, sesizează autoritățile competente.</w:t>
      </w:r>
    </w:p>
    <w:p w:rsidR="004E7DFD" w:rsidRPr="004E7DFD" w:rsidRDefault="004E7DFD" w:rsidP="004E7DFD">
      <w:pPr>
        <w:pStyle w:val="al"/>
        <w:shd w:val="clear" w:color="auto" w:fill="FFFFFF"/>
        <w:spacing w:before="0" w:beforeAutospacing="0" w:after="0" w:afterAutospacing="0"/>
        <w:jc w:val="both"/>
        <w:rPr>
          <w:i/>
        </w:rPr>
      </w:pPr>
      <w:r w:rsidRPr="004E7DFD">
        <w:rPr>
          <w:bCs/>
          <w:i/>
        </w:rPr>
        <w:t>(4)</w:t>
      </w:r>
      <w:r w:rsidRPr="004E7DFD">
        <w:rPr>
          <w:i/>
        </w:rPr>
        <w:t> Împotriva hotărârilor pronunțate de birourile electorale în materia campaniei electorale se poate face contestație în termen de 48 de ore de la data afișării, care se depune la biroul electoral ierarhic superior. Hotărârea este definitivă.</w:t>
      </w:r>
    </w:p>
    <w:p w:rsidR="004E7DFD" w:rsidRPr="004E7DFD" w:rsidRDefault="004E7DFD" w:rsidP="004E7DFD">
      <w:pPr>
        <w:pStyle w:val="al"/>
        <w:shd w:val="clear" w:color="auto" w:fill="FFFFFF"/>
        <w:spacing w:before="0" w:beforeAutospacing="0" w:after="0" w:afterAutospacing="0"/>
        <w:jc w:val="both"/>
        <w:rPr>
          <w:i/>
        </w:rPr>
      </w:pPr>
      <w:r w:rsidRPr="004E7DFD">
        <w:rPr>
          <w:bCs/>
          <w:i/>
        </w:rPr>
        <w:t>(5)</w:t>
      </w:r>
      <w:r w:rsidRPr="004E7DFD">
        <w:rPr>
          <w:i/>
        </w:rPr>
        <w:t> Soluționarea plângerilor și a contestațiilor se face în termen de 3 zile de la înregistrarea lor, iar hotărârile date se publică în presă și se afișează în mod vizibil la sediul biroului electoral care le-a emis.</w:t>
      </w:r>
    </w:p>
    <w:p w:rsidR="004E7DFD" w:rsidRDefault="004E7DFD" w:rsidP="004E7DFD">
      <w:pPr>
        <w:pStyle w:val="al"/>
        <w:shd w:val="clear" w:color="auto" w:fill="FFFFFF"/>
        <w:spacing w:before="0" w:beforeAutospacing="0" w:after="0" w:afterAutospacing="0"/>
        <w:ind w:firstLine="1440"/>
        <w:jc w:val="both"/>
      </w:pPr>
    </w:p>
    <w:p w:rsidR="004E7DFD" w:rsidRDefault="004E7DFD" w:rsidP="004E7DFD">
      <w:pPr>
        <w:pStyle w:val="al"/>
        <w:shd w:val="clear" w:color="auto" w:fill="FFFFFF"/>
        <w:spacing w:before="0" w:beforeAutospacing="0" w:after="0" w:afterAutospacing="0"/>
        <w:ind w:firstLine="1440"/>
        <w:jc w:val="both"/>
      </w:pPr>
    </w:p>
    <w:p w:rsidR="004E7DFD" w:rsidRDefault="004E7DFD" w:rsidP="004E7DFD">
      <w:pPr>
        <w:pStyle w:val="al"/>
        <w:shd w:val="clear" w:color="auto" w:fill="FFFFFF"/>
        <w:spacing w:before="0" w:beforeAutospacing="0" w:after="0" w:afterAutospacing="0"/>
        <w:ind w:firstLine="1440"/>
        <w:jc w:val="both"/>
      </w:pPr>
    </w:p>
    <w:p w:rsidR="004E7DFD" w:rsidRDefault="004E7DFD" w:rsidP="004E7DFD">
      <w:pPr>
        <w:pStyle w:val="al"/>
        <w:shd w:val="clear" w:color="auto" w:fill="FFFFFF"/>
        <w:spacing w:before="0" w:beforeAutospacing="0" w:after="0" w:afterAutospacing="0"/>
        <w:ind w:firstLine="1440"/>
        <w:jc w:val="both"/>
      </w:pPr>
      <w:r>
        <w:t xml:space="preserve">PREȘEDINTE, </w:t>
      </w:r>
      <w:r>
        <w:tab/>
      </w:r>
      <w:r>
        <w:tab/>
      </w:r>
      <w:r>
        <w:tab/>
      </w:r>
      <w:r>
        <w:tab/>
      </w:r>
      <w:r>
        <w:tab/>
      </w:r>
      <w:r>
        <w:tab/>
        <w:t>LOCȚIITOR</w:t>
      </w:r>
    </w:p>
    <w:p w:rsidR="004E7DFD" w:rsidRPr="004E7DFD" w:rsidRDefault="004E7DFD" w:rsidP="004E7DFD">
      <w:pPr>
        <w:pStyle w:val="al"/>
        <w:shd w:val="clear" w:color="auto" w:fill="FFFFFF"/>
        <w:spacing w:before="0" w:beforeAutospacing="0" w:after="0" w:afterAutospacing="0"/>
        <w:jc w:val="both"/>
      </w:pPr>
      <w:r>
        <w:t xml:space="preserve">       judecător, CĂLINA MARIA CRIȘAN</w:t>
      </w:r>
      <w:r>
        <w:tab/>
      </w:r>
      <w:r>
        <w:tab/>
      </w:r>
      <w:r>
        <w:tab/>
        <w:t xml:space="preserve">            </w:t>
      </w:r>
      <w:bookmarkStart w:id="0" w:name="_GoBack"/>
      <w:bookmarkEnd w:id="0"/>
      <w:r>
        <w:t xml:space="preserve">  COSMINA CANDREA</w:t>
      </w:r>
    </w:p>
    <w:sectPr w:rsidR="004E7DFD" w:rsidRPr="004E7DFD" w:rsidSect="004E7DF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F6"/>
    <w:rsid w:val="004E7DFD"/>
    <w:rsid w:val="005F7615"/>
    <w:rsid w:val="00A87CF6"/>
    <w:rsid w:val="00D63DEA"/>
    <w:rsid w:val="00F5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CE6F6"/>
  <w15:chartTrackingRefBased/>
  <w15:docId w15:val="{665B36E3-1AD1-4E42-A436-7276D4C9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4">
    <w:name w:val="heading 4"/>
    <w:basedOn w:val="Normal"/>
    <w:link w:val="Heading4Char"/>
    <w:uiPriority w:val="9"/>
    <w:qFormat/>
    <w:rsid w:val="00F57292"/>
    <w:pPr>
      <w:spacing w:before="100" w:beforeAutospacing="1" w:after="100" w:afterAutospacing="1" w:line="240" w:lineRule="auto"/>
      <w:outlineLvl w:val="3"/>
    </w:pPr>
    <w:rPr>
      <w:rFonts w:eastAsia="Times New Roman"/>
      <w:b/>
      <w:bCs/>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
    <w:name w:val="a_l"/>
    <w:basedOn w:val="Normal"/>
    <w:rsid w:val="00F57292"/>
    <w:pPr>
      <w:spacing w:before="100" w:beforeAutospacing="1" w:after="100" w:afterAutospacing="1" w:line="240" w:lineRule="auto"/>
    </w:pPr>
    <w:rPr>
      <w:rFonts w:eastAsia="Times New Roman"/>
      <w:szCs w:val="24"/>
      <w:lang w:eastAsia="ro-RO"/>
    </w:rPr>
  </w:style>
  <w:style w:type="character" w:styleId="Hyperlink">
    <w:name w:val="Hyperlink"/>
    <w:basedOn w:val="DefaultParagraphFont"/>
    <w:uiPriority w:val="99"/>
    <w:semiHidden/>
    <w:unhideWhenUsed/>
    <w:rsid w:val="00F57292"/>
    <w:rPr>
      <w:color w:val="0000FF"/>
      <w:u w:val="single"/>
    </w:rPr>
  </w:style>
  <w:style w:type="character" w:customStyle="1" w:styleId="Heading4Char">
    <w:name w:val="Heading 4 Char"/>
    <w:basedOn w:val="DefaultParagraphFont"/>
    <w:link w:val="Heading4"/>
    <w:uiPriority w:val="9"/>
    <w:rsid w:val="00F57292"/>
    <w:rPr>
      <w:rFonts w:eastAsia="Times New Roman"/>
      <w:b/>
      <w:bCs/>
      <w:szCs w:val="24"/>
      <w:lang w:val="ro-RO" w:eastAsia="ro-RO"/>
    </w:rPr>
  </w:style>
  <w:style w:type="character" w:customStyle="1" w:styleId="cmg">
    <w:name w:val="cmg"/>
    <w:basedOn w:val="DefaultParagraphFont"/>
    <w:rsid w:val="00F57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3150">
      <w:bodyDiv w:val="1"/>
      <w:marLeft w:val="0"/>
      <w:marRight w:val="0"/>
      <w:marTop w:val="0"/>
      <w:marBottom w:val="0"/>
      <w:divBdr>
        <w:top w:val="none" w:sz="0" w:space="0" w:color="auto"/>
        <w:left w:val="none" w:sz="0" w:space="0" w:color="auto"/>
        <w:bottom w:val="none" w:sz="0" w:space="0" w:color="auto"/>
        <w:right w:val="none" w:sz="0" w:space="0" w:color="auto"/>
      </w:divBdr>
    </w:div>
    <w:div w:id="342124165">
      <w:bodyDiv w:val="1"/>
      <w:marLeft w:val="0"/>
      <w:marRight w:val="0"/>
      <w:marTop w:val="0"/>
      <w:marBottom w:val="0"/>
      <w:divBdr>
        <w:top w:val="none" w:sz="0" w:space="0" w:color="auto"/>
        <w:left w:val="none" w:sz="0" w:space="0" w:color="auto"/>
        <w:bottom w:val="none" w:sz="0" w:space="0" w:color="auto"/>
        <w:right w:val="none" w:sz="0" w:space="0" w:color="auto"/>
      </w:divBdr>
    </w:div>
    <w:div w:id="154325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ge5.ro/Gratuit/gy3tcnzyga/legea-nr-115-2015-pentru-alegerea-autoritatilor-administratiei-publice-locale-pentru-modificarea-legii-administratiei-publice-locale-nr-215-2001-precum-si-pentru-modificarea-si-completarea-legii-nr-39?pid=287837706&amp;d=2020-08-29" TargetMode="External"/><Relationship Id="rId4" Type="http://schemas.openxmlformats.org/officeDocument/2006/relationships/hyperlink" Target="https://lege5.ro/Gratuit/gy3tcnzyga/legea-nr-115-2015-pentru-alegerea-autoritatilor-administratiei-publice-locale-pentru-modificarea-legii-administratiei-publice-locale-nr-215-2001-precum-si-pentru-modificarea-si-completarea-legii-nr-39?pid=287837706&amp;d=2020-08-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609</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calina</dc:creator>
  <cp:keywords/>
  <dc:description/>
  <cp:lastModifiedBy>calina</cp:lastModifiedBy>
  <cp:revision>3</cp:revision>
  <dcterms:created xsi:type="dcterms:W3CDTF">2020-08-29T19:42:00Z</dcterms:created>
  <dcterms:modified xsi:type="dcterms:W3CDTF">2020-08-29T20:12:00Z</dcterms:modified>
</cp:coreProperties>
</file>